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>Self-Regulation Assessment Rubric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 xml:space="preserve">Please use </w:t>
      </w:r>
      <w:hyperlink r:id="rId7" w:tooltip="web link">
        <w:r w:rsidRPr="00C23B4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https://prekteachandplay.com/SR-rubric</w:t>
        </w:r>
      </w:hyperlink>
      <w:r w:rsidRPr="00C23B4D">
        <w:rPr>
          <w:rFonts w:ascii="Times New Roman" w:hAnsi="Times New Roman" w:cs="Times New Roman"/>
          <w:b/>
          <w:sz w:val="24"/>
          <w:szCs w:val="24"/>
        </w:rPr>
        <w:t xml:space="preserve"> to share with others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>Subcomponents of the self-regulation process</w:t>
      </w:r>
      <w:r w:rsidRPr="00C23B4D">
        <w:rPr>
          <w:rFonts w:ascii="Times New Roman" w:hAnsi="Times New Roman" w:cs="Times New Roman"/>
          <w:sz w:val="24"/>
          <w:szCs w:val="24"/>
        </w:rPr>
        <w:t xml:space="preserve">: </w:t>
      </w:r>
      <w:r w:rsidRPr="00C23B4D">
        <w:rPr>
          <w:rFonts w:ascii="Times New Roman" w:hAnsi="Times New Roman" w:cs="Times New Roman"/>
          <w:i/>
          <w:sz w:val="24"/>
          <w:szCs w:val="24"/>
        </w:rPr>
        <w:t>attention/focus, regulation, interaction, recall, and problem-solving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 w:rsidRPr="00C23B4D">
        <w:rPr>
          <w:rFonts w:ascii="Times New Roman" w:hAnsi="Times New Roman" w:cs="Times New Roman"/>
          <w:i/>
          <w:sz w:val="24"/>
          <w:szCs w:val="24"/>
        </w:rPr>
        <w:t>NOTE: When children demonstrate various self-regulation skills (engage in the self-regulation process) is highly dependent upon a wide variety of factors, including the child’s developmental stage, environmental circumstances, and individual differences.</w:t>
      </w:r>
    </w:p>
    <w:p w:rsidR="00EF6DAC" w:rsidRDefault="00EF6DAC"/>
    <w:p w:rsidR="00EF6DAC" w:rsidRDefault="00EF6DAC"/>
    <w:tbl>
      <w:tblPr>
        <w:tblW w:w="1489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lf-Regulation Assessment Rubric"/>
        <w:tblDescription w:val="Self-Regulation Assessment Rubric: Range from Foundational, Emerging,Functional, Strengthening, Generative&#10;&#10;Subcomponents of the self-regulation process: attention/focus, regulation, interaction, recall, and problem-solving&#10;"/>
      </w:tblPr>
      <w:tblGrid>
        <w:gridCol w:w="2805"/>
        <w:gridCol w:w="2940"/>
        <w:gridCol w:w="2835"/>
        <w:gridCol w:w="2970"/>
        <w:gridCol w:w="3340"/>
      </w:tblGrid>
      <w:tr w:rsidR="00EF6DAC" w:rsidRPr="00C23B4D" w:rsidTr="00C47518">
        <w:trPr>
          <w:trHeight w:val="680"/>
          <w:tblHeader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b/>
                <w:sz w:val="24"/>
                <w:szCs w:val="24"/>
              </w:rPr>
              <w:t>Foundational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b/>
                <w:sz w:val="24"/>
                <w:szCs w:val="24"/>
              </w:rPr>
              <w:t>Emerging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b/>
                <w:sz w:val="24"/>
                <w:szCs w:val="24"/>
              </w:rPr>
              <w:t>Functional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b/>
                <w:sz w:val="24"/>
                <w:szCs w:val="24"/>
              </w:rPr>
              <w:t>Strengthening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b/>
                <w:sz w:val="24"/>
                <w:szCs w:val="24"/>
              </w:rPr>
              <w:t>Generative</w:t>
            </w:r>
          </w:p>
        </w:tc>
      </w:tr>
      <w:tr w:rsidR="00EF6DAC" w:rsidRPr="00C23B4D" w:rsidTr="00C47518">
        <w:trPr>
          <w:trHeight w:val="68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Attention/Focus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Alert during many daily activities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Orients (e.g., turns, looks, reaches, moves toward) to sensory stimuli (e.g., auditory, visual, tactile)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Will orient away from stressors (e.g., avert eye gaze when overwhelmed)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Notices people/things in the environment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Attention/Focus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Focuses attention for short periods of time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Seeks and tolerates a variety of sensory experiences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Begins to ignore distractions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Increasing use of social-referencing (i.e., looks at caregivers for cues as to how to respond) - also noted under </w:t>
            </w: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interaction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Attention/Focus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Determines what to give/pay attention to, more focused but still for short periods of time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More active role in selecting and shifting attention (some call this attentional control)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Moves/transitions/shifts from one activity as desired or requested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Attention/Focus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Consistently gets, keeps, and shifts attention as required/needed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Pays attention to task or person despite internal and external distractions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Attention/Focus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Keeps several things in their mind at the same time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Greater attentional control for longer periods of time</w:t>
            </w:r>
          </w:p>
        </w:tc>
      </w:tr>
      <w:tr w:rsidR="00EF6DAC" w:rsidRPr="00C23B4D" w:rsidTr="00C475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Regulation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Uses self-soothing strategies when </w:t>
            </w:r>
            <w:proofErr w:type="spellStart"/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underaroused</w:t>
            </w:r>
            <w:proofErr w:type="spellEnd"/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 and over aroused (e.g., uses adult for comfort/closeness, familiar object like blanket or thumb)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Prefers sameness, stability, predictability, familiar, and easy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Reacts to sensory stimuli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Regulation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Makes effort to inhibit (stop) actions and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behaviors; less reactionary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Aims to regulate emotion during new and changing situations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Responds to soothing and comfort from familiar adult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Delays gratification for brief period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Regulation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Begins to resist impulses, including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socially undesirable impulses (e.g., aggression, disobedience)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Able to become calm; bring self under control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Begins to be able to stop themselves and respond less on autopilot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Stops one action before starting another 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Persists during tasks with reasonable demands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Regulation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Reflects on and talks about strategies to calm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self, to delay immediate gratification, and to regulate arousal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Increasingly able to stay regulated when exposed to someone else's stress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Matches and adjusts level of activity, volume of voice, complexity of talk for situation and others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Expresses many different emotions (e.g., makes facial expressions, statements, laughs, cries, lowers and raises voice) 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Regulation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Adapts to changes in demands and/or priorities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Makes plans before taking action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Moves and acts deliberately; stands back to read cues; empathizes</w:t>
            </w: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C" w:rsidRPr="00C23B4D" w:rsidTr="00C475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Interaction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Responds to familiar adult’s non-verbal communications (e.g., affect, tone, body language)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Responds to familiar adult’s “bid” for interaction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Plays a passive (responder) role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during simple communicative and social exchanges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Interaction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Follows the lead of others and does what they are doing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Engages in brief reciprocal interactions with adults and peers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Experiments with cause and effect - becomes an initiator - active agent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Takes action to engage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things and people in the environment (e.g., reaches, turns, seeks to influence)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Uses cues from adults to know how to respond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Follows situational and gestural cues in unfamiliar activities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Turns to familiar adult for help with strong emotions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Interaction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Initiates interactions with familiar adults and peers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Shares and exchanges social and communicative exchanges with familiar adults and peers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Shows affection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toward familiar adults and peers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Engages in pretend play (e.g., takes on roles/identities with imaginary objects/people and reenacts events)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Begins to better understand the function of rules (i.e., expectations or regulations of behavior or language, written or spoken, at home, at school, and in the community)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Begins to take the perspective of others and demonstrate empathy (i.e., understands and share the emotions of others)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Interaction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Identifies and understands someone else's feelings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Comforts others who are distressed or upset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Participates in new and changing situations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Plays cooperatively with peers by sharing and exchanging materials,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assisting one another, taking on jobs, roles, or identities that often lead to mutual benefit for all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Internalizes (accepts, acts upon) societal rules (these are set and influenced by culture) -</w:t>
            </w: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Note: Emerges along w/social-awareness and an understanding of reliance, which is an understanding regarding interdependencies and interconnectedness between objects, people, and/or events. Also includes and understanding of the causal relationship/effects between actions or events including physical, biological, and/or personal/social.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Interaction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Plays games with rules; negotiates social situations with peers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Takes on the perspective of others</w:t>
            </w:r>
          </w:p>
        </w:tc>
      </w:tr>
      <w:tr w:rsidR="00EF6DAC" w:rsidRPr="00C23B4D" w:rsidTr="00C475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Recall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Remembers how to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activate familiar toys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Remembers simple games or actions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Recall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Recalls information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immediately and with a context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Remembers labels for objects/people/events not present; Labels emotions some of the time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Remembers strategies that worked before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Follows model; actions are often in imitation</w:t>
            </w: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Recall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Follows single and/or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simple directions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Recalls information on the same day (in the moment), without contextual cues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Dramatizes remembered events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Labels emotions</w:t>
            </w: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Recall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Recalls information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memory, understands, and uses/acts upon the information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Follows routines and rules at home, school, and within the community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Knows personal information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Recall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Knows the consequences of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choices and actions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Remembers, follows, and completes multi-step directions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Remembers sequences of words and numbers</w:t>
            </w: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DAC" w:rsidRPr="00C23B4D" w:rsidTr="00C475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Problem Solving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Takes actions to maintain stability, regularity, and congruence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Tries to get things out of reach and/or things that have gone out of sight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Tries a number of ways to activate toys and get attention of others (e.g., bangs, cries)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Problem Solving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Stops being interested in only what is familiar &amp; prefers; seeks novelty and variation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Uses vocalizations including single words and gestures to get help and/or attention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Tries alternatives when first action doesn’t work and/or will adjust behavior to meet “goal”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Practices, explores, experiments</w:t>
            </w:r>
          </w:p>
          <w:p w:rsidR="00EF6DAC" w:rsidRPr="00C23B4D" w:rsidRDefault="00EF6DAC" w:rsidP="00EF6D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Seeks out activities that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challenge (e.g., will choose even moderately hard activities where they may fail)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Problem Solving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Uses simple strategies to solve common problems 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Uses words, phrases, and sentences to get help and/or attention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Begins to take active role in decision-making and collaborative problem-solving (recognizes the problem, thinks of possible solutions, plans and carries out </w:t>
            </w:r>
            <w:r w:rsidRPr="00C2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solutions)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Takes action to get internal needs met (e.g., hunger, thirst, rest, comfort) and external needs met (e.g., wipe nose, wash hands, change out of wet socks)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Problem Solving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Uses more complex strategies to solve a common problem (e.g., negotiates, brainstorms, seeks input)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Can begin to take the lead in decision-making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 xml:space="preserve">Tries before asking for help; stays with a task even with distractions or increased complexity </w:t>
            </w: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i/>
                <w:sz w:val="24"/>
                <w:szCs w:val="24"/>
              </w:rPr>
              <w:t>Problem Solving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Considers alternatives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More accurate take on social situations and conflicts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Knows when to pick/choose/use different strategies</w:t>
            </w:r>
          </w:p>
          <w:p w:rsidR="00EF6DAC" w:rsidRPr="00C23B4D" w:rsidRDefault="00EF6DAC" w:rsidP="00C4751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3B4D">
              <w:rPr>
                <w:rFonts w:ascii="Times New Roman" w:hAnsi="Times New Roman" w:cs="Times New Roman"/>
                <w:sz w:val="24"/>
                <w:szCs w:val="24"/>
              </w:rPr>
              <w:t>Evaluates the outcome (e.g., was the problem solved, was it fair and just, was the issue resolved)</w:t>
            </w:r>
          </w:p>
          <w:p w:rsidR="00EF6DAC" w:rsidRPr="00C23B4D" w:rsidRDefault="00EF6DAC" w:rsidP="00C4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34DF2" w:rsidRDefault="00834DF2"/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>References and Sources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40"/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Bricker, D. D.,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Capt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Pretti-Frontczak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K., Johnson, J.,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Slentz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Straka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E., &amp; Waddell, M. (2002). The Assessment, Evaluation and Programming System for Infants and Young Children: Vol.2 AEPS Items for Birth to Three Years and Three to Six Years (2nd ed.). Baltimore, MD: Paul H. Brookes Publishing Co.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40"/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Bronson, M.B. 2000. Self-Regulation in Early Childhood: Nature and Nurture. New York: Guilford.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40"/>
        <w:rPr>
          <w:rFonts w:ascii="Times New Roman" w:hAnsi="Times New Roman" w:cs="Times New Roman"/>
          <w:sz w:val="24"/>
          <w:szCs w:val="24"/>
        </w:rPr>
      </w:pPr>
      <w:proofErr w:type="spellStart"/>
      <w:r w:rsidRPr="00C23B4D">
        <w:rPr>
          <w:rFonts w:ascii="Times New Roman" w:hAnsi="Times New Roman" w:cs="Times New Roman"/>
          <w:sz w:val="24"/>
          <w:szCs w:val="24"/>
        </w:rPr>
        <w:t>Bukatko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&amp; Daehler, 2012 </w:t>
      </w:r>
      <w:hyperlink r:id="rId8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https://quizlet.com/87282533/child-psychology-chapter-12-key-terms-flash-cards/</w:t>
        </w:r>
      </w:hyperlink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40"/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Child psychology chapter 12 key terms. (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). Retrieved from </w:t>
      </w:r>
      <w:hyperlink r:id="rId9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https://quizlet.com/87282533/child-psychology-chapter-12-key-terms-flash-cards/</w:t>
        </w:r>
      </w:hyperlink>
      <w:r w:rsidRPr="00C2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40"/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Kopp, C. B. (1982). Antecedents of self-regulation: A developmental perspective. Developmental Psychology, 18(2), 199-214.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40"/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McClelland, M. M. &amp;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Tominey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S. L. (2015). Stop, Think, Act: Integrating Self-Regulation in the Early Childhood Classroom. </w:t>
      </w:r>
      <w:proofErr w:type="gramStart"/>
      <w:r w:rsidRPr="00C23B4D">
        <w:rPr>
          <w:rFonts w:ascii="Times New Roman" w:hAnsi="Times New Roman" w:cs="Times New Roman"/>
          <w:sz w:val="24"/>
          <w:szCs w:val="24"/>
        </w:rPr>
        <w:t>New  York</w:t>
      </w:r>
      <w:proofErr w:type="gramEnd"/>
      <w:r w:rsidRPr="00C23B4D">
        <w:rPr>
          <w:rFonts w:ascii="Times New Roman" w:hAnsi="Times New Roman" w:cs="Times New Roman"/>
          <w:sz w:val="24"/>
          <w:szCs w:val="24"/>
        </w:rPr>
        <w:t>, NY: Routledge.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Murray, D.W.,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C. (2016). Self-Regulation and Toxic Stress Report 3: A Comprehensive Review of Self-Regulation Interventions from Birth through Young Adulthood. OPRE Report # 2016-34, Washington, DC: </w:t>
      </w:r>
      <w:r w:rsidRPr="00C23B4D">
        <w:rPr>
          <w:rFonts w:ascii="Times New Roman" w:hAnsi="Times New Roman" w:cs="Times New Roman"/>
          <w:sz w:val="24"/>
          <w:szCs w:val="24"/>
        </w:rPr>
        <w:lastRenderedPageBreak/>
        <w:t xml:space="preserve">Office of Planning, Research and Evaluation, Administration for Children and Families, U.S. Department of Health and Human Services. 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Murray, Desiree W.,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Katie,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Christina, and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Hamoudi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Amar (2015). Self-Regulation and Toxic Stress: Foundations for Understanding Self-Regulation from an Applied Developmental Perspective. OPRE Report #2015-21, Washington, DC: Office of Planning, Research and Evaluation, Administration for Children and Families, U.S. Department of Health and Human Services. 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  <w:highlight w:val="white"/>
        </w:rPr>
        <w:t xml:space="preserve">North Carolina Department of Public Instruction (2015). North Carolina Early Learning and Development Progressions: Birth to Five. Retrieved from </w:t>
      </w:r>
      <w:hyperlink r:id="rId10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http://earlylearningprogressions.fpg.unc.edu/</w:t>
        </w:r>
      </w:hyperlink>
      <w:r w:rsidRPr="00C23B4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F6DAC" w:rsidRPr="00C23B4D" w:rsidRDefault="00EF6DAC" w:rsidP="00EF6D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C23B4D">
        <w:rPr>
          <w:rFonts w:ascii="Times New Roman" w:hAnsi="Times New Roman" w:cs="Times New Roman"/>
          <w:sz w:val="24"/>
          <w:szCs w:val="24"/>
        </w:rPr>
        <w:t>Prizant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B. M.,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Wetherby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A.M., Rubin E., Laurent, A. C., &amp;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Rydell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P. J. (2006). The SCERTS MODEL: A comprehensive educational approach for children with autism spectrum disorders. Baltimore, MD: Paul H. Brookes Publishing Co.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>Definitions of Self-Regulation</w:t>
      </w:r>
      <w:r w:rsidRPr="00C23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“Conscious control of thoughts, feelings, and behaviors...the ability to stop, think, and then act” (McClelland &amp;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Tominey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2015).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“Self-regulation refers to the process of modulating systems of emotion, attention and behavior in response to a given contextual situation, stimulus or demand” (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Razza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Bergen-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Cico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&amp; Raymond, 2015)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"Self-regulation is defined from an applied perspective as the act of managing cognition and emotion to enable goal-directed actions such as organizing behavior, controlling impulses, and solving problems constructively" (Murray,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2016).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"Self-regulation refers to the capacity to monitor, direct, and flexibly adapt one's behaviors and activities to achieve certain goals or meet the demands imposed by others" (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Bukatko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&amp; Daehler, 2012).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“Self-regulation refers to several complicated processes that allow children to appropriately respond to their environment” (Child Psychology Chapter 12 Key Terms,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).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“The ability to modify one’s behavior in order to meet situational demands (Kopp, 1982)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Self regulation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is the ability to regulate or adapt one’s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>, emotions and thinking according to the situation. It includes the abilities to start or stop doing something even if one does not want to do so (Maxwell et al., 2009:2).</w:t>
      </w:r>
    </w:p>
    <w:p w:rsidR="00EF6DAC" w:rsidRPr="00C23B4D" w:rsidRDefault="00EF6DAC" w:rsidP="00EF6D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“Self-regulation (also referred to in the literature as self-control or self-management; Chen and Rubin, 2011 and Denham and Brown, 2010) is generally defined in the early childhood literature as the ability to focus attention, manage emotions, and </w:t>
      </w:r>
      <w:r w:rsidRPr="00C23B4D">
        <w:rPr>
          <w:rFonts w:ascii="Times New Roman" w:hAnsi="Times New Roman" w:cs="Times New Roman"/>
          <w:sz w:val="24"/>
          <w:szCs w:val="24"/>
        </w:rPr>
        <w:lastRenderedPageBreak/>
        <w:t xml:space="preserve">control behaviors (Blair and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Razza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2007 and McClelland and Cameron, 2012).” </w:t>
      </w: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instrText xml:space="preserve"> HYPERLINK "http://www.sciencedirect.com/science/article/pii/S0193397316300065" \o "web link" </w:instrText>
      </w: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separate"/>
      </w:r>
      <w:r w:rsidRPr="00C23B4D">
        <w:rPr>
          <w:rStyle w:val="Hyperlink"/>
          <w:rFonts w:ascii="Times New Roman" w:hAnsi="Times New Roman" w:cs="Times New Roman"/>
          <w:sz w:val="24"/>
          <w:szCs w:val="24"/>
        </w:rPr>
        <w:t xml:space="preserve">http://www.sciencedirect.com/science/article/pii/S0193397316300065 </w:t>
      </w:r>
    </w:p>
    <w:p w:rsidR="00EF6DAC" w:rsidRPr="00C23B4D" w:rsidRDefault="00EF6DAC" w:rsidP="00EF6DA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hyperlink r:id="rId11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Pre-K Teach &amp; Play Podcast episode 29</w:t>
        </w:r>
      </w:hyperlink>
      <w:r w:rsidRPr="00C23B4D">
        <w:rPr>
          <w:rFonts w:ascii="Times New Roman" w:hAnsi="Times New Roman" w:cs="Times New Roman"/>
          <w:sz w:val="24"/>
          <w:szCs w:val="24"/>
        </w:rPr>
        <w:t xml:space="preserve"> explore definitional issues as well.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 xml:space="preserve">Facts/reminders from research summarized by Gabrielle </w:t>
      </w:r>
      <w:proofErr w:type="spellStart"/>
      <w:r w:rsidRPr="00C23B4D">
        <w:rPr>
          <w:rFonts w:ascii="Times New Roman" w:hAnsi="Times New Roman" w:cs="Times New Roman"/>
          <w:b/>
          <w:sz w:val="24"/>
          <w:szCs w:val="24"/>
        </w:rPr>
        <w:t>Gunin</w:t>
      </w:r>
      <w:proofErr w:type="spellEnd"/>
      <w:r w:rsidRPr="00C23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B4D">
        <w:rPr>
          <w:rFonts w:ascii="Times New Roman" w:hAnsi="Times New Roman" w:cs="Times New Roman"/>
          <w:b/>
          <w:sz w:val="24"/>
          <w:szCs w:val="24"/>
        </w:rPr>
        <w:t>retrived</w:t>
      </w:r>
      <w:proofErr w:type="spellEnd"/>
      <w:r w:rsidRPr="00C23B4D">
        <w:rPr>
          <w:rFonts w:ascii="Times New Roman" w:hAnsi="Times New Roman" w:cs="Times New Roman"/>
          <w:b/>
          <w:sz w:val="24"/>
          <w:szCs w:val="24"/>
        </w:rPr>
        <w:t xml:space="preserve"> from </w:t>
      </w:r>
      <w:hyperlink r:id="rId12" w:tooltip="web link">
        <w:r w:rsidRPr="00C23B4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http://steinhardt.nyu.edu/appsych/opus/issues/2015/fall/gunin</w:t>
        </w:r>
      </w:hyperlink>
      <w:r w:rsidRPr="00C23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DAC" w:rsidRPr="00C23B4D" w:rsidRDefault="00EF6DAC" w:rsidP="00EF6D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“Preschoolers who are effective self-regulators also show advances in emergent math, vocabulary, and literacy abilities, relative to their peers with weaker self-regulatory capabilities.”</w:t>
      </w:r>
    </w:p>
    <w:p w:rsidR="00EF6DAC" w:rsidRPr="00C23B4D" w:rsidRDefault="00EF6DAC" w:rsidP="00EF6D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“Although self-regulation tends to follow a developmental timetable, the skills are sensitive to environmental influences, such as poverty, parenting practices, ethnic background, and school-based interventions.”</w:t>
      </w:r>
    </w:p>
    <w:p w:rsidR="00EF6DAC" w:rsidRPr="00C23B4D" w:rsidRDefault="00EF6DAC" w:rsidP="00EF6D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“Given different standards and expectations for behavior, children from different cultures regulate their behavior in different ways.”</w:t>
      </w:r>
    </w:p>
    <w:p w:rsidR="00EF6DAC" w:rsidRPr="00C23B4D" w:rsidRDefault="00EF6DAC" w:rsidP="00EF6D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“Based on the research conducted to date, the most prominent influences appear to be poverty status, parenting practices, ethnic background, and in-school interventions. While some of these influences are relatively stable (i.e., poverty status and culture), others are much more malleable and subject to change (i.e., parenting practices and in-school interventions).”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NOTE: Many consider self-regulation as an “umbrella term that encompasses many constructs that may be used to describe similar skills and processes.” This rubric is divided into the subcomponents of attention/focus, regulation, interaction, recall, and problem-solving. Others have noted subcomponents such as willpower, executive functioning, self-control, self-management, etc. For example, see Murray, Desiree W.,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Rosanbalm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Katie,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Christopoulos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Christina, and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Hamoudi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, Amar (2015) at </w:t>
      </w:r>
      <w:hyperlink r:id="rId13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https://www.acf.hhs.gov/sites/default/files/opre/report_1_foundations_paper_final_012715_submitted_508.pdf</w:t>
        </w:r>
      </w:hyperlink>
    </w:p>
    <w:p w:rsidR="00EF6DAC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Assortment of skills often associated with the umbrella term of self-regulation: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Focused attention (getting, keeping, and shifting attention)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Cognitive flexibility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Mental shifting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Goal-setting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Considering alternatives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lastRenderedPageBreak/>
        <w:t>Making plans before taking action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Self-monitoring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Problem-solving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Perspective taking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Decision-making (moving and acting deliberately)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Managing strong and unpleasant feelings</w:t>
      </w:r>
    </w:p>
    <w:p w:rsidR="00EF6DAC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Adapting to emotional situations</w:t>
      </w:r>
    </w:p>
    <w:p w:rsidR="00EF6DAC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5234">
        <w:rPr>
          <w:rFonts w:ascii="Times New Roman" w:hAnsi="Times New Roman" w:cs="Times New Roman"/>
          <w:sz w:val="24"/>
          <w:szCs w:val="24"/>
        </w:rPr>
        <w:t>Awareness and understanding of feelings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Self-calming/soothing strategies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Tolerance of internal distress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Empathy and compassion for self and others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Effortful coping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Following rules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Delaying gratification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Ignoring distractions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Persistence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Impulse control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Conflict resolution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Recalling information</w:t>
      </w:r>
    </w:p>
    <w:p w:rsidR="00EF6DAC" w:rsidRPr="00C23B4D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Handling socially relevant tasks </w:t>
      </w:r>
    </w:p>
    <w:p w:rsidR="00EF6DAC" w:rsidRPr="00545234" w:rsidRDefault="00EF6DAC" w:rsidP="00EF6DA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>Working memory</w:t>
      </w:r>
    </w:p>
    <w:p w:rsidR="00EF6DAC" w:rsidRPr="00C23B4D" w:rsidRDefault="00EF6DAC" w:rsidP="00EF6DAC">
      <w:pP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23B4D">
        <w:rPr>
          <w:rFonts w:ascii="Times New Roman" w:hAnsi="Times New Roman" w:cs="Times New Roman"/>
          <w:b/>
          <w:sz w:val="24"/>
          <w:szCs w:val="24"/>
        </w:rPr>
        <w:t>KEY QUOTES:</w:t>
      </w: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“Emotions, learning and memory are closely linked. Children need sound wellbeing, motivation and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self esteem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to engage in experience and become competent through attention and practice. Attention drives both learning and memory (Rushton et al., 2003:18). Emotions influence a person’s capacity to attend, to be involved and to take action, all of which are essential for learning (OECD, 2007:64). Children’s motivation and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are underpinned by having a sense of security which develops in nurturing </w:t>
      </w:r>
      <w:r w:rsidRPr="00C23B4D">
        <w:rPr>
          <w:rFonts w:ascii="Times New Roman" w:hAnsi="Times New Roman" w:cs="Times New Roman"/>
          <w:sz w:val="24"/>
          <w:szCs w:val="24"/>
        </w:rPr>
        <w:lastRenderedPageBreak/>
        <w:t xml:space="preserve">relationships, (NSCDC, 2007a).” </w:t>
      </w:r>
      <w:hyperlink r:id="rId14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http://www.scseec.edu.au/site/DefaultSite/filesystem/documents/Reports%20and%20publications/Publications/Early%20childhood%20education/Engaging%20Families%20in%20the%20ECD%20Story-Neuroscience%20and%20ECD.pdf</w:t>
        </w:r>
      </w:hyperlink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The research of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Shanker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(in McCain et al., 2007) shows that learning self-regulation is a primary task of newborns and is only possible in nurturing relationships. By providing appropriate and changing stimulation in response to a baby’s states, moods, and interests, parents help the baby manage their level of arousal and build the networks for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self regulation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Sroufe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et al., 2005). </w:t>
      </w:r>
      <w:hyperlink r:id="rId15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http://www.scseec.edu.au/site/DefaultSite/filesystem/documents/Reports%20and%20publications/Publications/Early%20childhood%20education/Engaging%20Families%20in%20the%20ECD%20Story-Neuroscience%20and%20ECD.pdf</w:t>
        </w:r>
      </w:hyperlink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Self regulation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is a process of executive function. Executive function processes have consistently been ranked by first years of school teachers as the most critical aspect of ‘school readiness’ (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Bodrova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Zaslow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&amp; Martinez-Beck, 2005;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Shonkoff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&amp; Phillips, 2000) and have been directly linked to academic achievement (Bull et al., 2008) and social and emotional development (Hughes, 1998; Howard-Jones, 2008). It has been found that more than half of children entering school do so without sufficient levels of social-emotional and cognitive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self regulation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Bodrova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3B4D">
        <w:rPr>
          <w:rFonts w:ascii="Times New Roman" w:hAnsi="Times New Roman" w:cs="Times New Roman"/>
          <w:sz w:val="24"/>
          <w:szCs w:val="24"/>
        </w:rPr>
        <w:t>Zaslow</w:t>
      </w:r>
      <w:proofErr w:type="spellEnd"/>
      <w:r w:rsidRPr="00C23B4D">
        <w:rPr>
          <w:rFonts w:ascii="Times New Roman" w:hAnsi="Times New Roman" w:cs="Times New Roman"/>
          <w:sz w:val="24"/>
          <w:szCs w:val="24"/>
        </w:rPr>
        <w:t xml:space="preserve"> &amp; Martinez-Beck, 2005). </w:t>
      </w:r>
      <w:hyperlink r:id="rId16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http://www.scseec.edu.au/site/DefaultSite/filesystem/documents/Reports%20and%20publications/Publications/Early%20childhood%20education/Engaging%20Families%20in%20the%20ECD%20Story-Neuroscience%20and%20ECD.pdf</w:t>
        </w:r>
      </w:hyperlink>
    </w:p>
    <w:p w:rsidR="00EF6DAC" w:rsidRPr="00C23B4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F6DAC" w:rsidRPr="00C7580D" w:rsidRDefault="00EF6DAC" w:rsidP="00EF6D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highlight w:val="white"/>
        </w:rPr>
      </w:pPr>
      <w:r w:rsidRPr="00C23B4D">
        <w:rPr>
          <w:rFonts w:ascii="Times New Roman" w:hAnsi="Times New Roman" w:cs="Times New Roman"/>
          <w:sz w:val="24"/>
          <w:szCs w:val="24"/>
        </w:rPr>
        <w:t xml:space="preserve">“It is by being regulated that these robustly growing systems are wired to support self-regulation.” </w:t>
      </w:r>
      <w:hyperlink r:id="rId17" w:tooltip="web link">
        <w:r w:rsidRPr="00C23B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http://www.edu.gov.on.ca/childcare/shanker.pdf</w:t>
        </w:r>
      </w:hyperlink>
    </w:p>
    <w:p w:rsidR="00EF6DAC" w:rsidRDefault="00EF6DAC"/>
    <w:p w:rsidR="00EF6DAC" w:rsidRDefault="00EF6DAC">
      <w:bookmarkStart w:id="0" w:name="_GoBack"/>
      <w:bookmarkEnd w:id="0"/>
    </w:p>
    <w:sectPr w:rsidR="00EF6DAC" w:rsidSect="00EF6DAC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49" w:rsidRDefault="00856D49" w:rsidP="00EF6DAC">
      <w:pPr>
        <w:spacing w:line="240" w:lineRule="auto"/>
      </w:pPr>
      <w:r>
        <w:separator/>
      </w:r>
    </w:p>
  </w:endnote>
  <w:endnote w:type="continuationSeparator" w:id="0">
    <w:p w:rsidR="00856D49" w:rsidRDefault="00856D49" w:rsidP="00EF6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AC" w:rsidRPr="00EF6DAC" w:rsidRDefault="00EF6DAC" w:rsidP="00EF6DAC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sz w:val="24"/>
        <w:szCs w:val="24"/>
      </w:rPr>
    </w:pPr>
    <w:r w:rsidRPr="00C23B4D">
      <w:rPr>
        <w:rFonts w:ascii="Times New Roman" w:hAnsi="Times New Roman" w:cs="Times New Roman"/>
        <w:sz w:val="24"/>
        <w:szCs w:val="24"/>
      </w:rPr>
      <w:t xml:space="preserve">© All rights reserved. </w:t>
    </w:r>
    <w:hyperlink r:id="rId1" w:tooltip="web link">
      <w:r w:rsidRPr="00C23B4D">
        <w:rPr>
          <w:rFonts w:ascii="Times New Roman" w:hAnsi="Times New Roman" w:cs="Times New Roman"/>
          <w:color w:val="1155CC"/>
          <w:sz w:val="24"/>
          <w:szCs w:val="24"/>
          <w:u w:val="single"/>
        </w:rPr>
        <w:t>http://kristiepf.com</w:t>
      </w:r>
    </w:hyperlink>
    <w:r w:rsidRPr="00C23B4D">
      <w:rPr>
        <w:rFonts w:ascii="Times New Roman" w:hAnsi="Times New Roman" w:cs="Times New Roman"/>
        <w:sz w:val="24"/>
        <w:szCs w:val="24"/>
      </w:rPr>
      <w:t xml:space="preserve"> </w:t>
    </w:r>
  </w:p>
  <w:p w:rsidR="00EF6DAC" w:rsidRDefault="00EF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49" w:rsidRDefault="00856D49" w:rsidP="00EF6DAC">
      <w:pPr>
        <w:spacing w:line="240" w:lineRule="auto"/>
      </w:pPr>
      <w:r>
        <w:separator/>
      </w:r>
    </w:p>
  </w:footnote>
  <w:footnote w:type="continuationSeparator" w:id="0">
    <w:p w:rsidR="00856D49" w:rsidRDefault="00856D49" w:rsidP="00EF6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45E"/>
    <w:multiLevelType w:val="multilevel"/>
    <w:tmpl w:val="F96C3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617C1"/>
    <w:multiLevelType w:val="multilevel"/>
    <w:tmpl w:val="D550E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C55BC1"/>
    <w:multiLevelType w:val="multilevel"/>
    <w:tmpl w:val="69E4B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E268C6"/>
    <w:multiLevelType w:val="multilevel"/>
    <w:tmpl w:val="62B40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F96F0C"/>
    <w:multiLevelType w:val="multilevel"/>
    <w:tmpl w:val="DD04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3B3E8F"/>
    <w:multiLevelType w:val="multilevel"/>
    <w:tmpl w:val="75C44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B472C5"/>
    <w:multiLevelType w:val="multilevel"/>
    <w:tmpl w:val="9DECE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6C0056"/>
    <w:multiLevelType w:val="multilevel"/>
    <w:tmpl w:val="0ADE3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016854"/>
    <w:multiLevelType w:val="multilevel"/>
    <w:tmpl w:val="6A6C1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872A79"/>
    <w:multiLevelType w:val="multilevel"/>
    <w:tmpl w:val="5B449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AC"/>
    <w:rsid w:val="00834DF2"/>
    <w:rsid w:val="00856D49"/>
    <w:rsid w:val="00E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2216"/>
  <w15:chartTrackingRefBased/>
  <w15:docId w15:val="{6F64FE99-FDBA-47A5-8A37-06E3276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6DA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D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A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F6D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AC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7282533/child-psychology-chapter-12-key-terms-flash-cards/" TargetMode="External"/><Relationship Id="rId13" Type="http://schemas.openxmlformats.org/officeDocument/2006/relationships/hyperlink" Target="https://www.acf.hhs.gov/sites/default/files/opre/report_1_foundations_paper_final_012715_submitted_508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ekteachandplay.com/SR-rubric" TargetMode="External"/><Relationship Id="rId12" Type="http://schemas.openxmlformats.org/officeDocument/2006/relationships/hyperlink" Target="http://steinhardt.nyu.edu/appsych/opus/issues/2015/fall/gunin" TargetMode="External"/><Relationship Id="rId17" Type="http://schemas.openxmlformats.org/officeDocument/2006/relationships/hyperlink" Target="http://www.edu.gov.on.ca/childcare/shank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seec.edu.au/site/DefaultSite/filesystem/documents/Reports%20and%20publications/Publications/Early%20childhood%20education/Engaging%20Families%20in%20the%20ECD%20Story-Neuroscience%20and%20EC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kteachandplay.com/podcast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seec.edu.au/site/DefaultSite/filesystem/documents/Reports%20and%20publications/Publications/Early%20childhood%20education/Engaging%20Families%20in%20the%20ECD%20Story-Neuroscience%20and%20ECD.pdf" TargetMode="External"/><Relationship Id="rId10" Type="http://schemas.openxmlformats.org/officeDocument/2006/relationships/hyperlink" Target="http://earlylearningprogressions.fpg.unc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87282533/child-psychology-chapter-12-key-terms-flash-cards/" TargetMode="External"/><Relationship Id="rId14" Type="http://schemas.openxmlformats.org/officeDocument/2006/relationships/hyperlink" Target="http://www.scseec.edu.au/site/DefaultSite/filesystem/documents/Reports%20and%20publications/Publications/Early%20childhood%20education/Engaging%20Families%20in%20the%20ECD%20Story-Neuroscience%20and%20ECD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istiep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1</cp:revision>
  <dcterms:created xsi:type="dcterms:W3CDTF">2019-06-19T01:02:00Z</dcterms:created>
  <dcterms:modified xsi:type="dcterms:W3CDTF">2019-06-19T01:07:00Z</dcterms:modified>
</cp:coreProperties>
</file>